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5BD3B" w14:textId="7C39B8C6" w:rsidR="008C2D2B" w:rsidRPr="008C2D2B" w:rsidRDefault="008C2D2B" w:rsidP="008C2D2B">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8C2D2B">
        <w:rPr>
          <w:rFonts w:ascii="Lato" w:eastAsia="Times New Roman" w:hAnsi="Lato" w:cs="Times New Roman"/>
          <w:color w:val="CC3300"/>
          <w:kern w:val="36"/>
          <w:sz w:val="36"/>
          <w:szCs w:val="36"/>
          <w:lang w:eastAsia="fr-BE"/>
          <w14:ligatures w14:val="none"/>
        </w:rPr>
        <w:t>Nickel</w:t>
      </w:r>
      <w:r>
        <w:rPr>
          <w:rFonts w:ascii="Lato" w:eastAsia="Times New Roman" w:hAnsi="Lato" w:cs="Times New Roman"/>
          <w:color w:val="CC3300"/>
          <w:kern w:val="36"/>
          <w:sz w:val="36"/>
          <w:szCs w:val="36"/>
          <w:lang w:eastAsia="fr-BE"/>
          <w14:ligatures w14:val="none"/>
        </w:rPr>
        <w:t>,</w:t>
      </w:r>
      <w:r w:rsidRPr="008C2D2B">
        <w:rPr>
          <w:rFonts w:ascii="Lato" w:eastAsia="Times New Roman" w:hAnsi="Lato" w:cs="Times New Roman"/>
          <w:color w:val="CC3300"/>
          <w:kern w:val="36"/>
          <w:sz w:val="36"/>
          <w:szCs w:val="36"/>
          <w:lang w:eastAsia="fr-BE"/>
          <w14:ligatures w14:val="none"/>
        </w:rPr>
        <w:t xml:space="preserve"> les cours ont probablement atteint leur niveau plancher</w:t>
      </w:r>
    </w:p>
    <w:p w14:paraId="332A1DA7" w14:textId="77777777" w:rsidR="008C2D2B" w:rsidRDefault="008C2D2B" w:rsidP="008C2D2B">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8BAA581" w14:textId="7ADAB3A1" w:rsidR="008C2D2B" w:rsidRPr="008C2D2B" w:rsidRDefault="008C2D2B" w:rsidP="008C2D2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C2D2B">
        <w:rPr>
          <w:rFonts w:ascii="Lato" w:eastAsia="Times New Roman" w:hAnsi="Lato" w:cs="Times New Roman"/>
          <w:b/>
          <w:bCs/>
          <w:color w:val="000000"/>
          <w:kern w:val="0"/>
          <w:sz w:val="23"/>
          <w:szCs w:val="23"/>
          <w:lang w:eastAsia="fr-BE"/>
          <w14:ligatures w14:val="none"/>
        </w:rPr>
        <w:t xml:space="preserve">Les cours mondiaux du nickel pourraient avoir touché leur niveau plancher, estime la banque d’affaires américaine </w:t>
      </w:r>
      <w:proofErr w:type="spellStart"/>
      <w:r w:rsidRPr="008C2D2B">
        <w:rPr>
          <w:rFonts w:ascii="Lato" w:eastAsia="Times New Roman" w:hAnsi="Lato" w:cs="Times New Roman"/>
          <w:b/>
          <w:bCs/>
          <w:color w:val="000000"/>
          <w:kern w:val="0"/>
          <w:sz w:val="23"/>
          <w:szCs w:val="23"/>
          <w:lang w:eastAsia="fr-BE"/>
          <w14:ligatures w14:val="none"/>
        </w:rPr>
        <w:t>Macquarie</w:t>
      </w:r>
      <w:proofErr w:type="spellEnd"/>
      <w:r w:rsidRPr="008C2D2B">
        <w:rPr>
          <w:rFonts w:ascii="Lato" w:eastAsia="Times New Roman" w:hAnsi="Lato" w:cs="Times New Roman"/>
          <w:b/>
          <w:bCs/>
          <w:color w:val="000000"/>
          <w:kern w:val="0"/>
          <w:sz w:val="23"/>
          <w:szCs w:val="23"/>
          <w:lang w:eastAsia="fr-BE"/>
          <w14:ligatures w14:val="none"/>
        </w:rPr>
        <w:t>, qui prévoit une remontée des cours, soutenue par la forte demande du secteur de l'acier et le tassement de l'excédent d'offre en minerai, consécutif au ralentissement de l’attribution des permis de production en Indonésie.</w:t>
      </w:r>
    </w:p>
    <w:p w14:paraId="4B6C0720" w14:textId="77777777" w:rsidR="008C2D2B" w:rsidRPr="008C2D2B" w:rsidRDefault="008C2D2B" w:rsidP="008C2D2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C2D2B">
        <w:rPr>
          <w:rFonts w:ascii="Lato" w:eastAsia="Times New Roman" w:hAnsi="Lato" w:cs="Times New Roman"/>
          <w:color w:val="000000"/>
          <w:kern w:val="0"/>
          <w:sz w:val="23"/>
          <w:szCs w:val="23"/>
          <w:lang w:eastAsia="fr-BE"/>
          <w14:ligatures w14:val="none"/>
        </w:rPr>
        <w:t> </w:t>
      </w:r>
    </w:p>
    <w:p w14:paraId="0A5A387C" w14:textId="77777777" w:rsidR="008C2D2B" w:rsidRPr="008C2D2B" w:rsidRDefault="008C2D2B" w:rsidP="008C2D2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C2D2B">
        <w:rPr>
          <w:rFonts w:ascii="Lato" w:eastAsia="Times New Roman" w:hAnsi="Lato" w:cs="Times New Roman"/>
          <w:color w:val="000000"/>
          <w:kern w:val="0"/>
          <w:sz w:val="23"/>
          <w:szCs w:val="23"/>
          <w:lang w:eastAsia="fr-BE"/>
          <w14:ligatures w14:val="none"/>
        </w:rPr>
        <w:t>« </w:t>
      </w:r>
      <w:r w:rsidRPr="008C2D2B">
        <w:rPr>
          <w:rFonts w:ascii="Lato" w:eastAsia="Times New Roman" w:hAnsi="Lato" w:cs="Times New Roman"/>
          <w:i/>
          <w:iCs/>
          <w:color w:val="000000"/>
          <w:kern w:val="0"/>
          <w:sz w:val="23"/>
          <w:szCs w:val="23"/>
          <w:lang w:eastAsia="fr-BE"/>
          <w14:ligatures w14:val="none"/>
        </w:rPr>
        <w:t>Nous pensons que les cours du nickel ont touché leur seuil plancher, et les ajustements du côté de l’offre qui en ont découlé font naître des inquiétudes pour l’approvisionnement à long terme. Ces nouvelles dispositions devraient soutenir la remontée des cours </w:t>
      </w:r>
      <w:r w:rsidRPr="008C2D2B">
        <w:rPr>
          <w:rFonts w:ascii="Lato" w:eastAsia="Times New Roman" w:hAnsi="Lato" w:cs="Times New Roman"/>
          <w:color w:val="000000"/>
          <w:kern w:val="0"/>
          <w:sz w:val="23"/>
          <w:szCs w:val="23"/>
          <w:lang w:eastAsia="fr-BE"/>
          <w14:ligatures w14:val="none"/>
        </w:rPr>
        <w:t xml:space="preserve">», a déclaré Jim Lennon, analyste de </w:t>
      </w:r>
      <w:proofErr w:type="spellStart"/>
      <w:r w:rsidRPr="008C2D2B">
        <w:rPr>
          <w:rFonts w:ascii="Lato" w:eastAsia="Times New Roman" w:hAnsi="Lato" w:cs="Times New Roman"/>
          <w:color w:val="000000"/>
          <w:kern w:val="0"/>
          <w:sz w:val="23"/>
          <w:szCs w:val="23"/>
          <w:lang w:eastAsia="fr-BE"/>
          <w14:ligatures w14:val="none"/>
        </w:rPr>
        <w:t>Macquarie</w:t>
      </w:r>
      <w:proofErr w:type="spellEnd"/>
      <w:r w:rsidRPr="008C2D2B">
        <w:rPr>
          <w:rFonts w:ascii="Lato" w:eastAsia="Times New Roman" w:hAnsi="Lato" w:cs="Times New Roman"/>
          <w:color w:val="000000"/>
          <w:kern w:val="0"/>
          <w:sz w:val="23"/>
          <w:szCs w:val="23"/>
          <w:lang w:eastAsia="fr-BE"/>
          <w14:ligatures w14:val="none"/>
        </w:rPr>
        <w:t>, lors d'une conférence organisée par le </w:t>
      </w:r>
      <w:r w:rsidRPr="008C2D2B">
        <w:rPr>
          <w:rFonts w:ascii="Lato" w:eastAsia="Times New Roman" w:hAnsi="Lato" w:cs="Times New Roman"/>
          <w:i/>
          <w:iCs/>
          <w:color w:val="000000"/>
          <w:kern w:val="0"/>
          <w:sz w:val="23"/>
          <w:szCs w:val="23"/>
          <w:lang w:eastAsia="fr-BE"/>
          <w14:ligatures w14:val="none"/>
        </w:rPr>
        <w:t xml:space="preserve">Shanghai </w:t>
      </w:r>
      <w:proofErr w:type="spellStart"/>
      <w:r w:rsidRPr="008C2D2B">
        <w:rPr>
          <w:rFonts w:ascii="Lato" w:eastAsia="Times New Roman" w:hAnsi="Lato" w:cs="Times New Roman"/>
          <w:i/>
          <w:iCs/>
          <w:color w:val="000000"/>
          <w:kern w:val="0"/>
          <w:sz w:val="23"/>
          <w:szCs w:val="23"/>
          <w:lang w:eastAsia="fr-BE"/>
          <w14:ligatures w14:val="none"/>
        </w:rPr>
        <w:t>Metals</w:t>
      </w:r>
      <w:proofErr w:type="spellEnd"/>
      <w:r w:rsidRPr="008C2D2B">
        <w:rPr>
          <w:rFonts w:ascii="Lato" w:eastAsia="Times New Roman" w:hAnsi="Lato" w:cs="Times New Roman"/>
          <w:i/>
          <w:iCs/>
          <w:color w:val="000000"/>
          <w:kern w:val="0"/>
          <w:sz w:val="23"/>
          <w:szCs w:val="23"/>
          <w:lang w:eastAsia="fr-BE"/>
          <w14:ligatures w14:val="none"/>
        </w:rPr>
        <w:t xml:space="preserve"> </w:t>
      </w:r>
      <w:proofErr w:type="spellStart"/>
      <w:r w:rsidRPr="008C2D2B">
        <w:rPr>
          <w:rFonts w:ascii="Lato" w:eastAsia="Times New Roman" w:hAnsi="Lato" w:cs="Times New Roman"/>
          <w:i/>
          <w:iCs/>
          <w:color w:val="000000"/>
          <w:kern w:val="0"/>
          <w:sz w:val="23"/>
          <w:szCs w:val="23"/>
          <w:lang w:eastAsia="fr-BE"/>
          <w14:ligatures w14:val="none"/>
        </w:rPr>
        <w:t>Market</w:t>
      </w:r>
      <w:proofErr w:type="spellEnd"/>
      <w:r w:rsidRPr="008C2D2B">
        <w:rPr>
          <w:rFonts w:ascii="Lato" w:eastAsia="Times New Roman" w:hAnsi="Lato" w:cs="Times New Roman"/>
          <w:color w:val="000000"/>
          <w:kern w:val="0"/>
          <w:sz w:val="23"/>
          <w:szCs w:val="23"/>
          <w:lang w:eastAsia="fr-BE"/>
          <w14:ligatures w14:val="none"/>
        </w:rPr>
        <w:t>, à Jakarta, la semaine passée. Il prévoit que le cours comptant du nickel, sur le LME, atteindra une moyenne de 17.379 $/t cette année, contre 21.491 $/t en 2023. Le Métal du Diable, au comptant, se négocie actuellement autour de 17.500 $/t. Le cours pourrait s’apprécier à 20.500 $/t en 2025, et s’élever jusqu’à 23.000 $/t en 2028, a indiqué Jim Lennon.</w:t>
      </w:r>
      <w:r w:rsidRPr="008C2D2B">
        <w:rPr>
          <w:rFonts w:ascii="Lato" w:eastAsia="Times New Roman" w:hAnsi="Lato" w:cs="Times New Roman"/>
          <w:color w:val="000000"/>
          <w:kern w:val="0"/>
          <w:sz w:val="23"/>
          <w:szCs w:val="23"/>
          <w:lang w:eastAsia="fr-BE"/>
          <w14:ligatures w14:val="none"/>
        </w:rPr>
        <w:br/>
        <w:t>Les autorisations d'exploitation minière en Indonésie ont été retardées pour plusieurs minerais cette année, dont le nickel, ce qui a entraîné une décrue des stocks dans les fonderies et contraint certaines à importer depuis les Philippines.</w:t>
      </w:r>
    </w:p>
    <w:p w14:paraId="4235A911" w14:textId="77777777" w:rsidR="008C2D2B" w:rsidRPr="008C2D2B" w:rsidRDefault="008C2D2B" w:rsidP="008C2D2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C2D2B">
        <w:rPr>
          <w:rFonts w:ascii="Lato" w:eastAsia="Times New Roman" w:hAnsi="Lato" w:cs="Times New Roman"/>
          <w:color w:val="000000"/>
          <w:kern w:val="0"/>
          <w:sz w:val="23"/>
          <w:szCs w:val="23"/>
          <w:lang w:eastAsia="fr-BE"/>
          <w14:ligatures w14:val="none"/>
        </w:rPr>
        <w:t>Jusqu’à présent, le gouvernement indonésien a approuvé pour 240 millions de tonnes de quotas de production de minerai pour les trois prochaines années.</w:t>
      </w:r>
    </w:p>
    <w:p w14:paraId="1FA3B79C" w14:textId="77777777" w:rsidR="008C2D2B" w:rsidRPr="008C2D2B" w:rsidRDefault="008C2D2B" w:rsidP="008C2D2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C2D2B">
        <w:rPr>
          <w:rFonts w:ascii="Lato" w:eastAsia="Times New Roman" w:hAnsi="Lato" w:cs="Times New Roman"/>
          <w:color w:val="000000"/>
          <w:kern w:val="0"/>
          <w:sz w:val="23"/>
          <w:szCs w:val="23"/>
          <w:lang w:eastAsia="fr-BE"/>
          <w14:ligatures w14:val="none"/>
        </w:rPr>
        <w:t xml:space="preserve">Ce volume est inférieur à la prévision de demande, de 260 millions de tonnes, avancée par l'Association indonésienne des producteurs miniers de nickel (APNI) pour cette année. A ce </w:t>
      </w:r>
      <w:proofErr w:type="gramStart"/>
      <w:r w:rsidRPr="008C2D2B">
        <w:rPr>
          <w:rFonts w:ascii="Lato" w:eastAsia="Times New Roman" w:hAnsi="Lato" w:cs="Times New Roman"/>
          <w:color w:val="000000"/>
          <w:kern w:val="0"/>
          <w:sz w:val="23"/>
          <w:szCs w:val="23"/>
          <w:lang w:eastAsia="fr-BE"/>
          <w14:ligatures w14:val="none"/>
        </w:rPr>
        <w:t>jour</w:t>
      </w:r>
      <w:proofErr w:type="gramEnd"/>
      <w:r w:rsidRPr="008C2D2B">
        <w:rPr>
          <w:rFonts w:ascii="Lato" w:eastAsia="Times New Roman" w:hAnsi="Lato" w:cs="Times New Roman"/>
          <w:color w:val="000000"/>
          <w:kern w:val="0"/>
          <w:sz w:val="23"/>
          <w:szCs w:val="23"/>
          <w:lang w:eastAsia="fr-BE"/>
          <w14:ligatures w14:val="none"/>
        </w:rPr>
        <w:t xml:space="preserve">, seules 220 millions de tonnes de capacité annuelle ont été approuvées cette année, ce qui devrait se traduire par une aggravation des tensions sur l’approvisionnement des fonderies, a souligné </w:t>
      </w:r>
      <w:proofErr w:type="spellStart"/>
      <w:r w:rsidRPr="008C2D2B">
        <w:rPr>
          <w:rFonts w:ascii="Lato" w:eastAsia="Times New Roman" w:hAnsi="Lato" w:cs="Times New Roman"/>
          <w:color w:val="000000"/>
          <w:kern w:val="0"/>
          <w:sz w:val="23"/>
          <w:szCs w:val="23"/>
          <w:lang w:eastAsia="fr-BE"/>
          <w14:ligatures w14:val="none"/>
        </w:rPr>
        <w:t>Meidy</w:t>
      </w:r>
      <w:proofErr w:type="spellEnd"/>
      <w:r w:rsidRPr="008C2D2B">
        <w:rPr>
          <w:rFonts w:ascii="Lato" w:eastAsia="Times New Roman" w:hAnsi="Lato" w:cs="Times New Roman"/>
          <w:color w:val="000000"/>
          <w:kern w:val="0"/>
          <w:sz w:val="23"/>
          <w:szCs w:val="23"/>
          <w:lang w:eastAsia="fr-BE"/>
          <w14:ligatures w14:val="none"/>
        </w:rPr>
        <w:t xml:space="preserve"> Katrin </w:t>
      </w:r>
      <w:proofErr w:type="spellStart"/>
      <w:r w:rsidRPr="008C2D2B">
        <w:rPr>
          <w:rFonts w:ascii="Lato" w:eastAsia="Times New Roman" w:hAnsi="Lato" w:cs="Times New Roman"/>
          <w:color w:val="000000"/>
          <w:kern w:val="0"/>
          <w:sz w:val="23"/>
          <w:szCs w:val="23"/>
          <w:lang w:eastAsia="fr-BE"/>
          <w14:ligatures w14:val="none"/>
        </w:rPr>
        <w:t>Lengkey</w:t>
      </w:r>
      <w:proofErr w:type="spellEnd"/>
      <w:r w:rsidRPr="008C2D2B">
        <w:rPr>
          <w:rFonts w:ascii="Lato" w:eastAsia="Times New Roman" w:hAnsi="Lato" w:cs="Times New Roman"/>
          <w:color w:val="000000"/>
          <w:kern w:val="0"/>
          <w:sz w:val="23"/>
          <w:szCs w:val="23"/>
          <w:lang w:eastAsia="fr-BE"/>
          <w14:ligatures w14:val="none"/>
        </w:rPr>
        <w:t>, secrétaire général de l’association. Les stocks des fonderies ont déjà fondu « </w:t>
      </w:r>
      <w:r w:rsidRPr="008C2D2B">
        <w:rPr>
          <w:rFonts w:ascii="Lato" w:eastAsia="Times New Roman" w:hAnsi="Lato" w:cs="Times New Roman"/>
          <w:i/>
          <w:iCs/>
          <w:color w:val="000000"/>
          <w:kern w:val="0"/>
          <w:sz w:val="23"/>
          <w:szCs w:val="23"/>
          <w:lang w:eastAsia="fr-BE"/>
          <w14:ligatures w14:val="none"/>
        </w:rPr>
        <w:t>de manière dramatique </w:t>
      </w:r>
      <w:r w:rsidRPr="008C2D2B">
        <w:rPr>
          <w:rFonts w:ascii="Lato" w:eastAsia="Times New Roman" w:hAnsi="Lato" w:cs="Times New Roman"/>
          <w:color w:val="000000"/>
          <w:kern w:val="0"/>
          <w:sz w:val="23"/>
          <w:szCs w:val="23"/>
          <w:lang w:eastAsia="fr-BE"/>
          <w14:ligatures w14:val="none"/>
        </w:rPr>
        <w:t xml:space="preserve">», souligne Jim Lennon, de </w:t>
      </w:r>
      <w:proofErr w:type="spellStart"/>
      <w:r w:rsidRPr="008C2D2B">
        <w:rPr>
          <w:rFonts w:ascii="Lato" w:eastAsia="Times New Roman" w:hAnsi="Lato" w:cs="Times New Roman"/>
          <w:color w:val="000000"/>
          <w:kern w:val="0"/>
          <w:sz w:val="23"/>
          <w:szCs w:val="23"/>
          <w:lang w:eastAsia="fr-BE"/>
          <w14:ligatures w14:val="none"/>
        </w:rPr>
        <w:t>Macquarie</w:t>
      </w:r>
      <w:proofErr w:type="spellEnd"/>
      <w:r w:rsidRPr="008C2D2B">
        <w:rPr>
          <w:rFonts w:ascii="Lato" w:eastAsia="Times New Roman" w:hAnsi="Lato" w:cs="Times New Roman"/>
          <w:color w:val="000000"/>
          <w:kern w:val="0"/>
          <w:sz w:val="23"/>
          <w:szCs w:val="23"/>
          <w:lang w:eastAsia="fr-BE"/>
          <w14:ligatures w14:val="none"/>
        </w:rPr>
        <w:t>. « </w:t>
      </w:r>
      <w:r w:rsidRPr="008C2D2B">
        <w:rPr>
          <w:rFonts w:ascii="Lato" w:eastAsia="Times New Roman" w:hAnsi="Lato" w:cs="Times New Roman"/>
          <w:i/>
          <w:iCs/>
          <w:color w:val="000000"/>
          <w:kern w:val="0"/>
          <w:sz w:val="23"/>
          <w:szCs w:val="23"/>
          <w:lang w:eastAsia="fr-BE"/>
          <w14:ligatures w14:val="none"/>
        </w:rPr>
        <w:t>Au vu des restrictions de production de minerai, nous estimons que l’excédent de métal affiné pourrait potentiellement descendre à 50.000, contre 100.000 tonnes précédemment </w:t>
      </w:r>
      <w:r w:rsidRPr="008C2D2B">
        <w:rPr>
          <w:rFonts w:ascii="Lato" w:eastAsia="Times New Roman" w:hAnsi="Lato" w:cs="Times New Roman"/>
          <w:color w:val="000000"/>
          <w:kern w:val="0"/>
          <w:sz w:val="23"/>
          <w:szCs w:val="23"/>
          <w:lang w:eastAsia="fr-BE"/>
          <w14:ligatures w14:val="none"/>
        </w:rPr>
        <w:t>», anticipe l’analyste.</w:t>
      </w:r>
    </w:p>
    <w:p w14:paraId="66C7AB9E" w14:textId="77777777" w:rsidR="008C2D2B" w:rsidRPr="008C2D2B" w:rsidRDefault="008C2D2B" w:rsidP="008C2D2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C2D2B">
        <w:rPr>
          <w:rFonts w:ascii="Lato" w:eastAsia="Times New Roman" w:hAnsi="Lato" w:cs="Times New Roman"/>
          <w:color w:val="000000"/>
          <w:kern w:val="0"/>
          <w:sz w:val="23"/>
          <w:szCs w:val="23"/>
          <w:lang w:eastAsia="fr-BE"/>
          <w14:ligatures w14:val="none"/>
        </w:rPr>
        <w:t>Dans le contexte actuel de cours bas et d’augmentation des coûts de production, des producteurs tels que </w:t>
      </w:r>
      <w:r w:rsidRPr="008C2D2B">
        <w:rPr>
          <w:rFonts w:ascii="Lato" w:eastAsia="Times New Roman" w:hAnsi="Lato" w:cs="Times New Roman"/>
          <w:b/>
          <w:bCs/>
          <w:color w:val="000000"/>
          <w:kern w:val="0"/>
          <w:sz w:val="23"/>
          <w:szCs w:val="23"/>
          <w:lang w:eastAsia="fr-BE"/>
          <w14:ligatures w14:val="none"/>
        </w:rPr>
        <w:t>BHP</w:t>
      </w:r>
      <w:r w:rsidRPr="008C2D2B">
        <w:rPr>
          <w:rFonts w:ascii="Lato" w:eastAsia="Times New Roman" w:hAnsi="Lato" w:cs="Times New Roman"/>
          <w:color w:val="000000"/>
          <w:kern w:val="0"/>
          <w:sz w:val="23"/>
          <w:szCs w:val="23"/>
          <w:lang w:eastAsia="fr-BE"/>
          <w14:ligatures w14:val="none"/>
        </w:rPr>
        <w:t> et </w:t>
      </w:r>
      <w:r w:rsidRPr="008C2D2B">
        <w:rPr>
          <w:rFonts w:ascii="Lato" w:eastAsia="Times New Roman" w:hAnsi="Lato" w:cs="Times New Roman"/>
          <w:b/>
          <w:bCs/>
          <w:color w:val="000000"/>
          <w:kern w:val="0"/>
          <w:sz w:val="23"/>
          <w:szCs w:val="23"/>
          <w:lang w:eastAsia="fr-BE"/>
          <w14:ligatures w14:val="none"/>
        </w:rPr>
        <w:t>Anglo American</w:t>
      </w:r>
      <w:r w:rsidRPr="008C2D2B">
        <w:rPr>
          <w:rFonts w:ascii="Lato" w:eastAsia="Times New Roman" w:hAnsi="Lato" w:cs="Times New Roman"/>
          <w:color w:val="000000"/>
          <w:kern w:val="0"/>
          <w:sz w:val="23"/>
          <w:szCs w:val="23"/>
          <w:lang w:eastAsia="fr-BE"/>
          <w14:ligatures w14:val="none"/>
        </w:rPr>
        <w:t> ont réduit leur capacité de production.</w:t>
      </w:r>
    </w:p>
    <w:p w14:paraId="150FC556" w14:textId="77777777" w:rsidR="008C2D2B" w:rsidRPr="008C2D2B" w:rsidRDefault="008C2D2B" w:rsidP="008C2D2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C2D2B">
        <w:rPr>
          <w:rFonts w:ascii="Lato" w:eastAsia="Times New Roman" w:hAnsi="Lato" w:cs="Times New Roman"/>
          <w:color w:val="000000"/>
          <w:kern w:val="0"/>
          <w:sz w:val="23"/>
          <w:szCs w:val="23"/>
          <w:lang w:eastAsia="fr-BE"/>
          <w14:ligatures w14:val="none"/>
        </w:rPr>
        <w:t xml:space="preserve">La demande devrait, elle, croître à un rythme de 8,9%, à 3,53 millions de tonnes, cette année, contre 6,3% pour la production. Paul White, secrétaire général d’International Nickel </w:t>
      </w:r>
      <w:proofErr w:type="spellStart"/>
      <w:r w:rsidRPr="008C2D2B">
        <w:rPr>
          <w:rFonts w:ascii="Lato" w:eastAsia="Times New Roman" w:hAnsi="Lato" w:cs="Times New Roman"/>
          <w:color w:val="000000"/>
          <w:kern w:val="0"/>
          <w:sz w:val="23"/>
          <w:szCs w:val="23"/>
          <w:lang w:eastAsia="fr-BE"/>
          <w14:ligatures w14:val="none"/>
        </w:rPr>
        <w:t>Study</w:t>
      </w:r>
      <w:proofErr w:type="spellEnd"/>
      <w:r w:rsidRPr="008C2D2B">
        <w:rPr>
          <w:rFonts w:ascii="Lato" w:eastAsia="Times New Roman" w:hAnsi="Lato" w:cs="Times New Roman"/>
          <w:color w:val="000000"/>
          <w:kern w:val="0"/>
          <w:sz w:val="23"/>
          <w:szCs w:val="23"/>
          <w:lang w:eastAsia="fr-BE"/>
          <w14:ligatures w14:val="none"/>
        </w:rPr>
        <w:t xml:space="preserve"> Group, table sur une progression de la demande de 7,9% cette année, semblable au rythme de l’an passé. La robustesse de la production d’acier en Chine et en Indonésie soutiendra la demande en nickel, ont estimé de concert Paul White et Jim Lennon. Ce dernier a ajouté que la demande du secteur des batteries, qui a stagné l’an dernier en raison des stocks élevés, devrait croître à nouveau cette année.</w:t>
      </w:r>
    </w:p>
    <w:p w14:paraId="19122E2A" w14:textId="77777777" w:rsidR="008C2D2B" w:rsidRPr="008C2D2B" w:rsidRDefault="008C2D2B" w:rsidP="008C2D2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spellStart"/>
      <w:r w:rsidRPr="008C2D2B">
        <w:rPr>
          <w:rFonts w:ascii="Lato" w:eastAsia="Times New Roman" w:hAnsi="Lato" w:cs="Times New Roman"/>
          <w:color w:val="000000"/>
          <w:kern w:val="0"/>
          <w:sz w:val="23"/>
          <w:szCs w:val="23"/>
          <w:lang w:eastAsia="fr-BE"/>
          <w14:ligatures w14:val="none"/>
        </w:rPr>
        <w:t>Jérome</w:t>
      </w:r>
      <w:proofErr w:type="spellEnd"/>
      <w:r w:rsidRPr="008C2D2B">
        <w:rPr>
          <w:rFonts w:ascii="Lato" w:eastAsia="Times New Roman" w:hAnsi="Lato" w:cs="Times New Roman"/>
          <w:color w:val="000000"/>
          <w:kern w:val="0"/>
          <w:sz w:val="23"/>
          <w:szCs w:val="23"/>
          <w:lang w:eastAsia="fr-BE"/>
          <w14:ligatures w14:val="none"/>
        </w:rPr>
        <w:t xml:space="preserve"> </w:t>
      </w:r>
      <w:proofErr w:type="spellStart"/>
      <w:r w:rsidRPr="008C2D2B">
        <w:rPr>
          <w:rFonts w:ascii="Lato" w:eastAsia="Times New Roman" w:hAnsi="Lato" w:cs="Times New Roman"/>
          <w:color w:val="000000"/>
          <w:kern w:val="0"/>
          <w:sz w:val="23"/>
          <w:szCs w:val="23"/>
          <w:lang w:eastAsia="fr-BE"/>
          <w14:ligatures w14:val="none"/>
        </w:rPr>
        <w:t>Baudelet</w:t>
      </w:r>
      <w:proofErr w:type="spellEnd"/>
      <w:r w:rsidRPr="008C2D2B">
        <w:rPr>
          <w:rFonts w:ascii="Lato" w:eastAsia="Times New Roman" w:hAnsi="Lato" w:cs="Times New Roman"/>
          <w:color w:val="000000"/>
          <w:kern w:val="0"/>
          <w:sz w:val="23"/>
          <w:szCs w:val="23"/>
          <w:lang w:eastAsia="fr-BE"/>
          <w14:ligatures w14:val="none"/>
        </w:rPr>
        <w:t>, directeur Ventes et marketing du producteur français de nickel et de lithium </w:t>
      </w:r>
      <w:proofErr w:type="spellStart"/>
      <w:r w:rsidRPr="008C2D2B">
        <w:rPr>
          <w:rFonts w:ascii="Lato" w:eastAsia="Times New Roman" w:hAnsi="Lato" w:cs="Times New Roman"/>
          <w:b/>
          <w:bCs/>
          <w:color w:val="000000"/>
          <w:kern w:val="0"/>
          <w:sz w:val="23"/>
          <w:szCs w:val="23"/>
          <w:lang w:eastAsia="fr-BE"/>
          <w14:ligatures w14:val="none"/>
        </w:rPr>
        <w:t>Eramet</w:t>
      </w:r>
      <w:proofErr w:type="spellEnd"/>
      <w:r w:rsidRPr="008C2D2B">
        <w:rPr>
          <w:rFonts w:ascii="Lato" w:eastAsia="Times New Roman" w:hAnsi="Lato" w:cs="Times New Roman"/>
          <w:color w:val="000000"/>
          <w:kern w:val="0"/>
          <w:sz w:val="23"/>
          <w:szCs w:val="23"/>
          <w:lang w:eastAsia="fr-BE"/>
          <w14:ligatures w14:val="none"/>
        </w:rPr>
        <w:t>, anticipe un accroissement de la demande en nickel de qualité batterie de 2,7 millions de tonnes d’ici à 2035, ce qui représenterait 48% de la demande en nickel, contre un volume de 687.000 tonnes attendu en 2025.</w:t>
      </w:r>
    </w:p>
    <w:p w14:paraId="21625C26"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2B"/>
    <w:rsid w:val="00287462"/>
    <w:rsid w:val="006C1F2C"/>
    <w:rsid w:val="008C2D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A243"/>
  <w15:chartTrackingRefBased/>
  <w15:docId w15:val="{FC457A88-C2D9-48C7-8742-3F0CAE53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2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2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2D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2D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2D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2D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2D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2D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2D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2D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2D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2D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2D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2D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2D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2D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2D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2D2B"/>
    <w:rPr>
      <w:rFonts w:eastAsiaTheme="majorEastAsia" w:cstheme="majorBidi"/>
      <w:color w:val="272727" w:themeColor="text1" w:themeTint="D8"/>
    </w:rPr>
  </w:style>
  <w:style w:type="paragraph" w:styleId="Titre">
    <w:name w:val="Title"/>
    <w:basedOn w:val="Normal"/>
    <w:next w:val="Normal"/>
    <w:link w:val="TitreCar"/>
    <w:uiPriority w:val="10"/>
    <w:qFormat/>
    <w:rsid w:val="008C2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2D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2D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2D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2D2B"/>
    <w:pPr>
      <w:spacing w:before="160"/>
      <w:jc w:val="center"/>
    </w:pPr>
    <w:rPr>
      <w:i/>
      <w:iCs/>
      <w:color w:val="404040" w:themeColor="text1" w:themeTint="BF"/>
    </w:rPr>
  </w:style>
  <w:style w:type="character" w:customStyle="1" w:styleId="CitationCar">
    <w:name w:val="Citation Car"/>
    <w:basedOn w:val="Policepardfaut"/>
    <w:link w:val="Citation"/>
    <w:uiPriority w:val="29"/>
    <w:rsid w:val="008C2D2B"/>
    <w:rPr>
      <w:i/>
      <w:iCs/>
      <w:color w:val="404040" w:themeColor="text1" w:themeTint="BF"/>
    </w:rPr>
  </w:style>
  <w:style w:type="paragraph" w:styleId="Paragraphedeliste">
    <w:name w:val="List Paragraph"/>
    <w:basedOn w:val="Normal"/>
    <w:uiPriority w:val="34"/>
    <w:qFormat/>
    <w:rsid w:val="008C2D2B"/>
    <w:pPr>
      <w:ind w:left="720"/>
      <w:contextualSpacing/>
    </w:pPr>
  </w:style>
  <w:style w:type="character" w:styleId="Accentuationintense">
    <w:name w:val="Intense Emphasis"/>
    <w:basedOn w:val="Policepardfaut"/>
    <w:uiPriority w:val="21"/>
    <w:qFormat/>
    <w:rsid w:val="008C2D2B"/>
    <w:rPr>
      <w:i/>
      <w:iCs/>
      <w:color w:val="0F4761" w:themeColor="accent1" w:themeShade="BF"/>
    </w:rPr>
  </w:style>
  <w:style w:type="paragraph" w:styleId="Citationintense">
    <w:name w:val="Intense Quote"/>
    <w:basedOn w:val="Normal"/>
    <w:next w:val="Normal"/>
    <w:link w:val="CitationintenseCar"/>
    <w:uiPriority w:val="30"/>
    <w:qFormat/>
    <w:rsid w:val="008C2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2D2B"/>
    <w:rPr>
      <w:i/>
      <w:iCs/>
      <w:color w:val="0F4761" w:themeColor="accent1" w:themeShade="BF"/>
    </w:rPr>
  </w:style>
  <w:style w:type="character" w:styleId="Rfrenceintense">
    <w:name w:val="Intense Reference"/>
    <w:basedOn w:val="Policepardfaut"/>
    <w:uiPriority w:val="32"/>
    <w:qFormat/>
    <w:rsid w:val="008C2D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73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2837</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2024-06-24T12:30:00Z</dcterms:created>
  <dcterms:modified xsi:type="dcterms:W3CDTF">2024-06-24T12:30:00Z</dcterms:modified>
</cp:coreProperties>
</file>